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tbl>
      <w:tblPr>
        <w:tblStyle w:val="2"/>
        <w:tblW w:w="8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3600"/>
        <w:gridCol w:w="1380"/>
        <w:gridCol w:w="111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主调人姓名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子女姓名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上海海螺物流有限公司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虞水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上海逸高实业有限公司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冯蕾琼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 xml:space="preserve">侯金龙                                  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侯予嫣、侯予睿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百丽鞋业（上海）有限公司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孙云杰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孙芮涵、孙瑞阳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上海海一航运有限公司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戴日星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 xml:space="preserve">瞿建新 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丽迅企业发展（上海）有限公司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宋洪军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宋佳怡、宋天怡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安博（中国）管理有限公司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上海东方雨虹防水工程有限公司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仲从良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郑雯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仲恩希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诺亚正行基金销售有限公司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栗亮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因诺（上海）资产管理有限公司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杨燕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朱姝洁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银河德睿资本管理有限公司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田远鹏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王婷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田屹航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东海基金管理有限责任公司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宗华俊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丁雨淙、宗泽宇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中芯聚源股权投资管理（上海）有限公司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崔一可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崔曹苒、崔芮涵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众安信息技术服务有限公司上海分公司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田海江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上海宽投资产管理有限公司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陈丕显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陈彦和、陈彦成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华创证券有限责任公司上海第二分公司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张燕芳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淳厚基金管理有限公司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上海重阳战略投资有限公司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李檀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上海好买基金销售有限公司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刘柯帆、刘诗妤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银河德睿资本管理有限公司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highlight w:val="none"/>
                <w:lang w:val="en-US" w:eastAsia="zh-CN" w:bidi="ar"/>
              </w:rPr>
              <w:t>张</w:t>
            </w:r>
            <w:r>
              <w:rPr>
                <w:rStyle w:val="5"/>
                <w:highlight w:val="none"/>
                <w:lang w:val="en-US" w:eastAsia="zh-CN" w:bidi="ar"/>
              </w:rPr>
              <w:t>堃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滔搏企业发展（上海）有限公司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孙桂正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孙晨睿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福寿康（上海）医疗养老服务有限公司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张军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邹鸿睿， 张韵雅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上海寰宇物流科技有限公司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 xml:space="preserve">倪继佳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上海致景信息科技有限公司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陈钟浩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陈果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陈泓森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陈柠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上海高顿教育科技有限公司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鲁姜汶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张索异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鲁菀清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上海勘测设计研究院有限公司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李樱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石依一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中国投资咨询有限责任公司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color w:val="auto"/>
                <w:highlight w:val="none"/>
                <w:lang w:val="en-US" w:eastAsia="zh-CN" w:bidi="ar"/>
              </w:rPr>
              <w:t>闫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頔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  <w:t>闫泽雨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上海乘安资产管理有限公司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陈乡雪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上海久奕雍霖投资管理有限公司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吴全民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  <w:t>吴承灏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上海兴聚投资管理有限公司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  <w:t xml:space="preserve">叶欣欣 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  <w:t xml:space="preserve">    唐梓芮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上海睿郡资产管理有限公司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6905"/>
    <w:rsid w:val="2E9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2022-08-01T02:23:00Z</dcterms:created>
  <dc:creator>DONG</dc:creator>
  <cp:lastModifiedBy>DONG</cp:lastModifiedBy>
  <dcterms:modified xsi:type="dcterms:W3CDTF">2022-08-01T02:23:39Z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51F2DB84D4D94FA39E641009D9419B8E</vt:lpwstr>
  </property>
</Properties>
</file>