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C469CB4">
      <w:pPr>
        <w:spacing w:line="360" w:lineRule="exact"/>
        <w:ind w:right="628" w:rightChars="299"/>
        <w:rPr>
          <w:rFonts w:hint="eastAsia" w:ascii="黑体" w:hAnsi="黑体" w:eastAsia="黑体" w:cs="黑体"/>
          <w:b w:val="0"/>
          <w:bCs w:val="0"/>
          <w:kern w:val="0"/>
          <w:sz w:val="32"/>
          <w:szCs w:val="28"/>
          <w:lang w:val="en-US"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b w:val="0"/>
          <w:bCs w:val="0"/>
          <w:kern w:val="0"/>
          <w:sz w:val="32"/>
          <w:szCs w:val="28"/>
          <w:lang w:val="en-US" w:eastAsia="zh-CN"/>
        </w:rPr>
        <w:t>附件5</w:t>
      </w:r>
    </w:p>
    <w:p w14:paraId="23968F88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jc w:val="center"/>
        <w:textAlignment w:val="auto"/>
        <w:rPr>
          <w:rFonts w:hint="eastAsia"/>
          <w:sz w:val="40"/>
          <w:szCs w:val="32"/>
          <w:lang w:val="en-US" w:eastAsia="zh-CN"/>
          <w14:textFill>
            <w14:gradFill>
              <w14:gsLst>
                <w14:gs w14:pos="50000">
                  <w14:schemeClr w14:val="accent1"/>
                </w14:gs>
                <w14:gs w14:pos="0">
                  <w14:schemeClr w14:val="accent1">
                    <w14:lumMod w14:val="25000"/>
                    <w14:lumOff w14:val="75000"/>
                  </w14:schemeClr>
                </w14:gs>
                <w14:gs w14:pos="100000">
                  <w14:schemeClr w14:val="accent1">
                    <w14:lumMod w14:val="85000"/>
                  </w14:schemeClr>
                </w14:gs>
              </w14:gsLst>
              <w14:lin w14:ang="5400000" w14:scaled="1"/>
            </w14:gradFill>
          </w14:textFill>
        </w:rPr>
      </w:pPr>
      <w:r>
        <w:rPr>
          <w:rFonts w:hint="eastAsia"/>
          <w:sz w:val="40"/>
          <w:szCs w:val="32"/>
          <w:lang w:val="en-US" w:eastAsia="zh-CN"/>
          <w14:textFill>
            <w14:gradFill>
              <w14:gsLst>
                <w14:gs w14:pos="50000">
                  <w14:schemeClr w14:val="accent1"/>
                </w14:gs>
                <w14:gs w14:pos="0">
                  <w14:schemeClr w14:val="accent1">
                    <w14:lumMod w14:val="25000"/>
                    <w14:lumOff w14:val="75000"/>
                  </w14:schemeClr>
                </w14:gs>
                <w14:gs w14:pos="100000">
                  <w14:schemeClr w14:val="accent1">
                    <w14:lumMod w14:val="85000"/>
                  </w14:schemeClr>
                </w14:gs>
              </w14:gsLst>
              <w14:lin w14:ang="5400000" w14:scaled="1"/>
            </w14:gradFill>
          </w14:textFill>
        </w:rPr>
        <w:t>中学生转学好办应用</w:t>
      </w:r>
    </w:p>
    <w:p w14:paraId="3EFD8497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jc w:val="center"/>
        <w:textAlignment w:val="auto"/>
        <w:rPr>
          <w:rFonts w:hint="eastAsia"/>
          <w:sz w:val="40"/>
          <w:szCs w:val="32"/>
          <w:lang w:val="en-US" w:eastAsia="zh-CN"/>
          <w14:textFill>
            <w14:gradFill>
              <w14:gsLst>
                <w14:gs w14:pos="50000">
                  <w14:schemeClr w14:val="accent1"/>
                </w14:gs>
                <w14:gs w14:pos="0">
                  <w14:schemeClr w14:val="accent1">
                    <w14:lumMod w14:val="25000"/>
                    <w14:lumOff w14:val="75000"/>
                  </w14:schemeClr>
                </w14:gs>
                <w14:gs w14:pos="100000">
                  <w14:schemeClr w14:val="accent1">
                    <w14:lumMod w14:val="85000"/>
                  </w14:schemeClr>
                </w14:gs>
              </w14:gsLst>
              <w14:lin w14:ang="5400000" w14:scaled="1"/>
            </w14:gradFill>
          </w14:textFill>
        </w:rPr>
      </w:pPr>
      <w:r>
        <w:rPr>
          <w:rFonts w:hint="eastAsia"/>
          <w:sz w:val="40"/>
          <w:szCs w:val="32"/>
          <w:lang w:val="en-US" w:eastAsia="zh-CN"/>
          <w14:textFill>
            <w14:gradFill>
              <w14:gsLst>
                <w14:gs w14:pos="50000">
                  <w14:schemeClr w14:val="accent1"/>
                </w14:gs>
                <w14:gs w14:pos="0">
                  <w14:schemeClr w14:val="accent1">
                    <w14:lumMod w14:val="25000"/>
                    <w14:lumOff w14:val="75000"/>
                  </w14:schemeClr>
                </w14:gs>
                <w14:gs w14:pos="100000">
                  <w14:schemeClr w14:val="accent1">
                    <w14:lumMod w14:val="85000"/>
                  </w14:schemeClr>
                </w14:gs>
              </w14:gsLst>
              <w14:lin w14:ang="5400000" w14:scaled="1"/>
            </w14:gradFill>
          </w14:textFill>
        </w:rPr>
        <w:t>操作指南</w:t>
      </w:r>
    </w:p>
    <w:p w14:paraId="1F2B0F0A">
      <w:pPr>
        <w:rPr>
          <w:rFonts w:hint="default"/>
          <w:lang w:val="en-US" w:eastAsia="zh-CN"/>
        </w:rPr>
      </w:pPr>
    </w:p>
    <w:p w14:paraId="29F16599">
      <w:pPr>
        <w:pStyle w:val="2"/>
        <w:bidi w:val="0"/>
        <w:rPr>
          <w:rFonts w:hint="eastAsia"/>
          <w:color w:val="95B3D7" w:themeColor="accent1" w:themeTint="99"/>
          <w:lang w:val="en-US" w:eastAsia="zh-CN"/>
          <w14:textFill>
            <w14:solidFill>
              <w14:schemeClr w14:val="accent1">
                <w14:lumMod w14:val="60000"/>
                <w14:lumOff w14:val="40000"/>
              </w14:schemeClr>
            </w14:solidFill>
          </w14:textFill>
        </w:rPr>
      </w:pPr>
      <w:r>
        <w:rPr>
          <w:rFonts w:hint="eastAsia"/>
          <w:color w:val="95B3D7" w:themeColor="accent1" w:themeTint="99"/>
          <w:lang w:val="en-US" w:eastAsia="zh-CN"/>
          <w14:textFill>
            <w14:solidFill>
              <w14:schemeClr w14:val="accent1">
                <w14:lumMod w14:val="60000"/>
                <w14:lumOff w14:val="40000"/>
              </w14:schemeClr>
            </w14:solidFill>
          </w14:textFill>
        </w:rPr>
        <w:t>01</w:t>
      </w:r>
      <w:r>
        <w:rPr>
          <w:rFonts w:hint="eastAsia" w:ascii="Times New Roman" w:eastAsia="宋体"/>
          <w:b/>
          <w:color w:val="95B3D7" w:themeColor="accent1" w:themeTint="99"/>
          <w:lang w:val="en-US" w:eastAsia="zh-CN"/>
          <w14:textFill>
            <w14:solidFill>
              <w14:schemeClr w14:val="accent1">
                <w14:lumMod w14:val="60000"/>
                <w14:lumOff w14:val="40000"/>
              </w14:schemeClr>
            </w14:solidFill>
          </w14:textFill>
        </w:rPr>
        <w:t xml:space="preserve">  手机</w:t>
      </w:r>
      <w:r>
        <w:rPr>
          <w:rFonts w:hint="eastAsia"/>
          <w:color w:val="95B3D7" w:themeColor="accent1" w:themeTint="99"/>
          <w:lang w:val="en-US" w:eastAsia="zh-CN"/>
          <w14:textFill>
            <w14:solidFill>
              <w14:schemeClr w14:val="accent1">
                <w14:lumMod w14:val="60000"/>
                <w14:lumOff w14:val="40000"/>
              </w14:schemeClr>
            </w14:solidFill>
          </w14:textFill>
        </w:rPr>
        <w:t>端登录</w:t>
      </w:r>
    </w:p>
    <w:p w14:paraId="79B5244D">
      <w:pPr>
        <w:rPr>
          <w:rFonts w:hint="eastAsia"/>
          <w:color w:val="auto"/>
          <w:lang w:val="en-US" w:eastAsia="zh-CN"/>
        </w:rPr>
      </w:pPr>
      <w:r>
        <w:rPr>
          <w:rFonts w:hint="eastAsia"/>
          <w:b/>
          <w:bCs/>
          <w:color w:val="auto"/>
          <w:lang w:val="en-US" w:eastAsia="zh-CN"/>
        </w:rPr>
        <w:t>步骤一：</w:t>
      </w:r>
      <w:r>
        <w:rPr>
          <w:rFonts w:hint="eastAsia"/>
          <w:color w:val="auto"/>
          <w:lang w:val="en-US" w:eastAsia="zh-CN"/>
        </w:rPr>
        <w:t>打开“随申办”市民云APP，进入首页（随申办</w:t>
      </w:r>
      <w:r>
        <w:rPr>
          <w:rFonts w:hint="eastAsia" w:ascii="Times New Roman" w:eastAsia="宋体"/>
          <w:color w:val="auto"/>
          <w:lang w:val="en-US" w:eastAsia="zh-CN"/>
        </w:rPr>
        <w:t>微信</w:t>
      </w:r>
      <w:r>
        <w:rPr>
          <w:rFonts w:hint="eastAsia"/>
          <w:color w:val="auto"/>
          <w:lang w:val="en-US" w:eastAsia="zh-CN"/>
        </w:rPr>
        <w:t>小程序和随申办</w:t>
      </w:r>
      <w:r>
        <w:rPr>
          <w:rFonts w:hint="eastAsia" w:ascii="Times New Roman" w:eastAsia="宋体"/>
          <w:color w:val="auto"/>
          <w:lang w:val="en-US" w:eastAsia="zh-CN"/>
        </w:rPr>
        <w:t>支付宝</w:t>
      </w:r>
      <w:r>
        <w:rPr>
          <w:rFonts w:hint="eastAsia"/>
          <w:color w:val="auto"/>
          <w:lang w:val="en-US" w:eastAsia="zh-CN"/>
        </w:rPr>
        <w:t>小程序操作步骤相同）；</w:t>
      </w:r>
    </w:p>
    <w:p w14:paraId="42888ABC">
      <w:pPr>
        <w:jc w:val="center"/>
        <w:rPr>
          <w:rFonts w:hint="eastAsia" w:eastAsiaTheme="minorEastAsia"/>
          <w:color w:val="auto"/>
          <w:lang w:val="en-US" w:eastAsia="zh-CN"/>
        </w:rPr>
      </w:pPr>
      <w:r>
        <w:drawing>
          <wp:inline distT="0" distB="0" distL="114300" distR="114300">
            <wp:extent cx="1385570" cy="3124835"/>
            <wp:effectExtent l="0" t="0" r="6985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85570" cy="312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</w:t>
      </w:r>
      <w:r>
        <w:rPr>
          <w:rFonts w:hint="eastAsia" w:eastAsiaTheme="minorEastAsia"/>
          <w:color w:val="auto"/>
          <w:lang w:val="en-US" w:eastAsia="zh-CN"/>
        </w:rPr>
        <w:drawing>
          <wp:inline distT="0" distB="0" distL="114300" distR="114300">
            <wp:extent cx="1414780" cy="3145790"/>
            <wp:effectExtent l="0" t="0" r="10160" b="6350"/>
            <wp:docPr id="13" name="图片 13" descr="2b1d608cf3de7a5cd9540b16682d5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b1d608cf3de7a5cd9540b16682d54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14780" cy="314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6793D">
      <w:pPr>
        <w:rPr>
          <w:rFonts w:hint="eastAsia"/>
          <w:color w:val="auto"/>
          <w:lang w:val="en-US" w:eastAsia="zh-CN"/>
        </w:rPr>
      </w:pPr>
      <w:r>
        <w:rPr>
          <w:rFonts w:hint="eastAsia"/>
          <w:b/>
          <w:bCs/>
          <w:color w:val="auto"/>
          <w:lang w:val="en-US" w:eastAsia="zh-CN"/>
        </w:rPr>
        <w:t>步骤二：</w:t>
      </w:r>
      <w:r>
        <w:rPr>
          <w:rFonts w:hint="eastAsia"/>
          <w:color w:val="auto"/>
          <w:lang w:val="en-US" w:eastAsia="zh-CN"/>
        </w:rPr>
        <w:t>点击左下角【区域】，选择【虹口区】，点击</w:t>
      </w:r>
      <w:r>
        <w:rPr>
          <w:rFonts w:hint="eastAsia" w:ascii="Times New Roman" w:eastAsia="宋体"/>
          <w:color w:val="auto"/>
          <w:lang w:val="en-US" w:eastAsia="zh-CN"/>
        </w:rPr>
        <w:t>【</w:t>
      </w:r>
      <w:r>
        <w:rPr>
          <w:rFonts w:hint="eastAsia"/>
          <w:color w:val="auto"/>
          <w:lang w:val="en-US" w:eastAsia="zh-CN"/>
        </w:rPr>
        <w:t>虹口区旗舰店】;</w:t>
      </w:r>
    </w:p>
    <w:p w14:paraId="05353595">
      <w:pPr>
        <w:jc w:val="center"/>
      </w:pPr>
      <w:r>
        <w:drawing>
          <wp:inline distT="0" distB="0" distL="114300" distR="114300">
            <wp:extent cx="1490980" cy="3232785"/>
            <wp:effectExtent l="0" t="0" r="9525" b="5715"/>
            <wp:docPr id="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90980" cy="323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eastAsia="宋体"/>
          <w:lang w:val="en-US" w:eastAsia="zh-CN"/>
        </w:rPr>
        <w:t xml:space="preserve">          </w:t>
      </w:r>
      <w:r>
        <w:drawing>
          <wp:inline distT="0" distB="0" distL="114300" distR="114300">
            <wp:extent cx="1468755" cy="3296920"/>
            <wp:effectExtent l="0" t="0" r="10160" b="6350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68755" cy="329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10159">
      <w:pPr>
        <w:jc w:val="center"/>
      </w:pPr>
    </w:p>
    <w:p w14:paraId="6167C90A">
      <w:pPr>
        <w:jc w:val="both"/>
        <w:rPr>
          <w:rFonts w:hint="eastAsia"/>
          <w:lang w:val="en-US" w:eastAsia="zh-CN"/>
        </w:rPr>
      </w:pPr>
      <w:r>
        <w:rPr>
          <w:rFonts w:hint="default"/>
          <w:b/>
          <w:bCs/>
          <w:lang w:val="en-US" w:eastAsia="zh-CN"/>
        </w:rPr>
        <w:t>步骤三</w:t>
      </w:r>
      <w:r>
        <w:rPr>
          <w:rFonts w:hint="eastAsia"/>
          <w:b/>
          <w:bCs/>
          <w:lang w:val="en-US" w:eastAsia="zh-CN"/>
        </w:rPr>
        <w:t>：</w:t>
      </w:r>
      <w:r>
        <w:rPr>
          <w:rFonts w:hint="default"/>
          <w:lang w:val="en-US" w:eastAsia="zh-CN"/>
        </w:rPr>
        <w:t>进入虹口区旗舰店</w:t>
      </w:r>
      <w:r>
        <w:rPr>
          <w:rFonts w:hint="eastAsia"/>
          <w:lang w:val="en-US" w:eastAsia="zh-CN"/>
        </w:rPr>
        <w:t>后，</w:t>
      </w:r>
      <w:r>
        <w:rPr>
          <w:rFonts w:hint="default"/>
          <w:lang w:val="en-US" w:eastAsia="zh-CN"/>
        </w:rPr>
        <w:t>点击</w:t>
      </w:r>
      <w:r>
        <w:rPr>
          <w:rFonts w:hint="eastAsia" w:ascii="Times New Roman" w:eastAsia="宋体"/>
          <w:color w:val="auto"/>
          <w:lang w:val="en-US" w:eastAsia="zh-CN"/>
        </w:rPr>
        <w:t>【虹口区中学生转学好办】</w:t>
      </w:r>
      <w:r>
        <w:rPr>
          <w:rFonts w:hint="default"/>
          <w:lang w:val="en-US" w:eastAsia="zh-CN"/>
        </w:rPr>
        <w:t>图标</w:t>
      </w:r>
      <w:r>
        <w:rPr>
          <w:rFonts w:hint="eastAsia"/>
          <w:lang w:val="en-US" w:eastAsia="zh-CN"/>
        </w:rPr>
        <w:t>，</w:t>
      </w:r>
      <w:r>
        <w:rPr>
          <w:rFonts w:hint="default"/>
          <w:lang w:val="en-US" w:eastAsia="zh-CN"/>
        </w:rPr>
        <w:t>进入系统</w:t>
      </w:r>
      <w:r>
        <w:rPr>
          <w:rFonts w:hint="eastAsia"/>
          <w:lang w:val="en-US" w:eastAsia="zh-CN"/>
        </w:rPr>
        <w:t>。</w:t>
      </w:r>
    </w:p>
    <w:p w14:paraId="1D00E378">
      <w:pPr>
        <w:jc w:val="both"/>
        <w:rPr>
          <w:rFonts w:hint="default"/>
          <w:lang w:val="en-US" w:eastAsia="zh-CN"/>
        </w:rPr>
      </w:pPr>
    </w:p>
    <w:p w14:paraId="33FCC61D"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1736090" cy="3841750"/>
            <wp:effectExtent l="0" t="0" r="1905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36090" cy="384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3738F">
      <w:pPr>
        <w:jc w:val="both"/>
        <w:rPr>
          <w:rFonts w:hint="default"/>
          <w:lang w:val="en-US" w:eastAsia="zh-CN"/>
        </w:rPr>
      </w:pPr>
    </w:p>
    <w:p w14:paraId="644C45BF">
      <w:pPr>
        <w:jc w:val="both"/>
        <w:rPr>
          <w:rFonts w:hint="default"/>
          <w:lang w:val="en-US" w:eastAsia="zh-CN"/>
        </w:rPr>
      </w:pPr>
    </w:p>
    <w:p w14:paraId="42C2D3B6">
      <w:pPr>
        <w:jc w:val="both"/>
        <w:rPr>
          <w:rFonts w:hint="default"/>
          <w:lang w:val="en-US" w:eastAsia="zh-CN"/>
        </w:rPr>
      </w:pPr>
    </w:p>
    <w:p w14:paraId="5133DB65">
      <w:pPr>
        <w:pStyle w:val="2"/>
        <w:bidi w:val="0"/>
        <w:rPr>
          <w:rFonts w:hint="eastAsia"/>
          <w:b/>
          <w:color w:val="95B3D7" w:themeColor="accent1" w:themeTint="99"/>
          <w:lang w:val="en-US" w:eastAsia="zh-CN"/>
          <w14:textFill>
            <w14:solidFill>
              <w14:schemeClr w14:val="accent1">
                <w14:lumMod w14:val="60000"/>
                <w14:lumOff w14:val="40000"/>
              </w14:schemeClr>
            </w14:solidFill>
          </w14:textFill>
        </w:rPr>
      </w:pPr>
      <w:r>
        <w:rPr>
          <w:rFonts w:hint="eastAsia"/>
          <w:b/>
          <w:color w:val="95B3D7" w:themeColor="accent1" w:themeTint="99"/>
          <w:lang w:val="en-US" w:eastAsia="zh-CN"/>
          <w14:textFill>
            <w14:solidFill>
              <w14:schemeClr w14:val="accent1">
                <w14:lumMod w14:val="60000"/>
                <w14:lumOff w14:val="40000"/>
              </w14:schemeClr>
            </w14:solidFill>
          </w14:textFill>
        </w:rPr>
        <w:t>02  电脑端登录</w:t>
      </w:r>
    </w:p>
    <w:p w14:paraId="4B589078">
      <w:pPr>
        <w:bidi w:val="0"/>
        <w:rPr>
          <w:rFonts w:hint="eastAsia"/>
          <w:lang w:val="en-US" w:eastAsia="zh-CN"/>
        </w:rPr>
      </w:pPr>
      <w:r>
        <w:rPr>
          <w:rFonts w:hint="default"/>
          <w:b/>
          <w:bCs/>
          <w:lang w:val="en-US" w:eastAsia="zh-CN"/>
        </w:rPr>
        <w:t>步骤一</w:t>
      </w:r>
      <w:r>
        <w:rPr>
          <w:rFonts w:hint="eastAsia"/>
          <w:b/>
          <w:bCs/>
          <w:lang w:val="en-US" w:eastAsia="zh-CN"/>
        </w:rPr>
        <w:t>：</w:t>
      </w:r>
      <w:r>
        <w:rPr>
          <w:rFonts w:hint="default"/>
          <w:lang w:val="en-US" w:eastAsia="zh-CN"/>
        </w:rPr>
        <w:t>输入网址</w:t>
      </w:r>
      <w:r>
        <w:rPr>
          <w:rFonts w:hint="eastAsia" w:ascii="Times New Roman" w:eastAsia="宋体"/>
          <w:color w:val="auto"/>
          <w:lang w:val="en-US" w:eastAsia="zh-CN"/>
        </w:rPr>
        <w:t>【</w:t>
      </w:r>
      <w:r>
        <w:rPr>
          <w:rFonts w:hint="default"/>
          <w:lang w:val="en-US" w:eastAsia="zh-CN"/>
        </w:rPr>
        <w:t>https://zwdt.sh.gov.cn/govPortals/region/SH00HK</w:t>
      </w:r>
      <w:r>
        <w:rPr>
          <w:rFonts w:hint="eastAsia" w:ascii="Times New Roman" w:eastAsia="宋体"/>
          <w:color w:val="auto"/>
          <w:lang w:val="en-US" w:eastAsia="zh-CN"/>
        </w:rPr>
        <w:t>】</w:t>
      </w:r>
      <w:r>
        <w:rPr>
          <w:rFonts w:hint="default"/>
          <w:lang w:val="en-US" w:eastAsia="zh-CN"/>
        </w:rPr>
        <w:t>进入</w:t>
      </w:r>
      <w:r>
        <w:rPr>
          <w:rFonts w:hint="eastAsia"/>
          <w:lang w:val="en-US" w:eastAsia="zh-CN"/>
        </w:rPr>
        <w:t>虹口区“</w:t>
      </w:r>
      <w:r>
        <w:rPr>
          <w:rFonts w:hint="default"/>
          <w:lang w:val="en-US" w:eastAsia="zh-CN"/>
        </w:rPr>
        <w:t>一网通办</w:t>
      </w:r>
      <w:r>
        <w:rPr>
          <w:rFonts w:hint="eastAsia"/>
          <w:lang w:val="en-US" w:eastAsia="zh-CN"/>
        </w:rPr>
        <w:t>”</w:t>
      </w:r>
      <w:r>
        <w:rPr>
          <w:rFonts w:hint="default"/>
          <w:lang w:val="en-US" w:eastAsia="zh-CN"/>
        </w:rPr>
        <w:t>PC端</w:t>
      </w:r>
      <w:r>
        <w:rPr>
          <w:rFonts w:hint="eastAsia"/>
          <w:lang w:val="en-US" w:eastAsia="zh-CN"/>
        </w:rPr>
        <w:t>；</w:t>
      </w:r>
    </w:p>
    <w:p w14:paraId="7999F36F">
      <w:pPr>
        <w:bidi w:val="0"/>
        <w:jc w:val="center"/>
      </w:pPr>
      <w:r>
        <w:drawing>
          <wp:inline distT="0" distB="0" distL="114300" distR="114300">
            <wp:extent cx="5337810" cy="2874010"/>
            <wp:effectExtent l="0" t="0" r="5715" b="8255"/>
            <wp:docPr id="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37810" cy="287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48662">
      <w:pPr>
        <w:bidi w:val="0"/>
        <w:jc w:val="both"/>
      </w:pPr>
    </w:p>
    <w:p w14:paraId="4D763576">
      <w:pPr>
        <w:bidi w:val="0"/>
        <w:jc w:val="both"/>
        <w:rPr>
          <w:rFonts w:hint="default"/>
          <w:lang w:val="en-US" w:eastAsia="zh-CN"/>
        </w:rPr>
      </w:pPr>
      <w:r>
        <w:rPr>
          <w:rFonts w:hint="default"/>
          <w:b/>
          <w:bCs/>
          <w:lang w:val="en-US" w:eastAsia="zh-CN"/>
        </w:rPr>
        <w:t>步骤二</w:t>
      </w:r>
      <w:r>
        <w:rPr>
          <w:rFonts w:hint="eastAsia"/>
          <w:b/>
          <w:bCs/>
          <w:lang w:val="en-US" w:eastAsia="zh-CN"/>
        </w:rPr>
        <w:t>：</w:t>
      </w:r>
      <w:r>
        <w:rPr>
          <w:rFonts w:hint="default"/>
          <w:lang w:val="en-US" w:eastAsia="zh-CN"/>
        </w:rPr>
        <w:t>点击【</w:t>
      </w:r>
      <w:r>
        <w:rPr>
          <w:rFonts w:hint="eastAsia"/>
          <w:lang w:val="en-US" w:eastAsia="zh-CN"/>
        </w:rPr>
        <w:t>智慧好办</w:t>
      </w:r>
      <w:r>
        <w:rPr>
          <w:rFonts w:hint="default"/>
          <w:lang w:val="en-US" w:eastAsia="zh-CN"/>
        </w:rPr>
        <w:t>】进入</w:t>
      </w:r>
      <w:r>
        <w:rPr>
          <w:rFonts w:hint="eastAsia"/>
          <w:lang w:val="en-US" w:eastAsia="zh-CN"/>
        </w:rPr>
        <w:t>好办快办服务首页；</w:t>
      </w:r>
    </w:p>
    <w:p w14:paraId="4F4458AC">
      <w:pPr>
        <w:bidi w:val="0"/>
        <w:jc w:val="both"/>
      </w:pPr>
      <w:r>
        <w:drawing>
          <wp:inline distT="0" distB="0" distL="114300" distR="114300">
            <wp:extent cx="5276850" cy="2694305"/>
            <wp:effectExtent l="0" t="0" r="1905" b="4445"/>
            <wp:docPr id="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369F4">
      <w:pPr>
        <w:bidi w:val="0"/>
        <w:jc w:val="both"/>
      </w:pPr>
    </w:p>
    <w:p w14:paraId="50629F56">
      <w:pPr>
        <w:bidi w:val="0"/>
        <w:jc w:val="both"/>
      </w:pPr>
    </w:p>
    <w:p w14:paraId="0C84453F">
      <w:pPr>
        <w:bidi w:val="0"/>
        <w:jc w:val="both"/>
        <w:rPr>
          <w:rFonts w:hint="default"/>
          <w:lang w:val="en-US" w:eastAsia="zh-CN"/>
        </w:rPr>
      </w:pPr>
    </w:p>
    <w:p w14:paraId="722CD6E3">
      <w:pPr>
        <w:bidi w:val="0"/>
        <w:jc w:val="both"/>
        <w:rPr>
          <w:rFonts w:hint="default"/>
          <w:lang w:val="en-US" w:eastAsia="zh-CN"/>
        </w:rPr>
      </w:pPr>
      <w:r>
        <w:rPr>
          <w:rFonts w:hint="default"/>
          <w:b/>
          <w:bCs/>
          <w:lang w:val="en-US" w:eastAsia="zh-CN"/>
        </w:rPr>
        <w:t>步骤</w:t>
      </w:r>
      <w:r>
        <w:rPr>
          <w:rFonts w:hint="eastAsia"/>
          <w:b/>
          <w:bCs/>
          <w:lang w:val="en-US" w:eastAsia="zh-CN"/>
        </w:rPr>
        <w:t>三：</w:t>
      </w:r>
      <w:r>
        <w:rPr>
          <w:rFonts w:hint="eastAsia"/>
          <w:lang w:val="en-US" w:eastAsia="zh-CN"/>
        </w:rPr>
        <w:t>左侧部门名称菜单中选择</w:t>
      </w:r>
      <w:r>
        <w:rPr>
          <w:rFonts w:hint="default"/>
          <w:lang w:val="en-US" w:eastAsia="zh-CN"/>
        </w:rPr>
        <w:t>【</w:t>
      </w:r>
      <w:r>
        <w:rPr>
          <w:rFonts w:hint="eastAsia"/>
          <w:lang w:val="en-US" w:eastAsia="zh-CN"/>
        </w:rPr>
        <w:t>虹口区教育局</w:t>
      </w:r>
      <w:r>
        <w:rPr>
          <w:rFonts w:hint="default"/>
          <w:lang w:val="en-US" w:eastAsia="zh-CN"/>
        </w:rPr>
        <w:t>】</w:t>
      </w:r>
      <w:r>
        <w:rPr>
          <w:rFonts w:hint="eastAsia"/>
          <w:lang w:val="en-US" w:eastAsia="zh-CN"/>
        </w:rPr>
        <w:t>，再点击右侧虹口区中学生转学</w:t>
      </w:r>
      <w:r>
        <w:rPr>
          <w:rFonts w:hint="default"/>
          <w:lang w:val="en-US" w:eastAsia="zh-CN"/>
        </w:rPr>
        <w:t>【</w:t>
      </w:r>
      <w:r>
        <w:rPr>
          <w:rFonts w:hint="eastAsia"/>
          <w:lang w:val="en-US" w:eastAsia="zh-CN"/>
        </w:rPr>
        <w:t>立即办理</w:t>
      </w:r>
      <w:r>
        <w:rPr>
          <w:rFonts w:hint="default"/>
          <w:lang w:val="en-US" w:eastAsia="zh-CN"/>
        </w:rPr>
        <w:t>】</w:t>
      </w:r>
      <w:r>
        <w:rPr>
          <w:rFonts w:hint="eastAsia"/>
          <w:lang w:val="en-US" w:eastAsia="zh-CN"/>
        </w:rPr>
        <w:t>按钮，进入系统。</w:t>
      </w:r>
    </w:p>
    <w:p w14:paraId="149C0CE9">
      <w:pPr>
        <w:bidi w:val="0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302885" cy="2867660"/>
            <wp:effectExtent l="0" t="0" r="8255" b="3810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02885" cy="286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3E214">
      <w:pPr>
        <w:bidi w:val="0"/>
        <w:jc w:val="both"/>
        <w:rPr>
          <w:rFonts w:hint="default"/>
          <w:lang w:val="en-US" w:eastAsia="zh-CN"/>
        </w:rPr>
      </w:pPr>
    </w:p>
    <w:p w14:paraId="32D0B5D9">
      <w:pPr>
        <w:spacing w:line="360" w:lineRule="exact"/>
        <w:ind w:left="764" w:leftChars="361" w:right="628" w:rightChars="299" w:hanging="6"/>
        <w:rPr>
          <w:rFonts w:hint="default" w:ascii="仿宋" w:hAnsi="仿宋" w:eastAsia="仿宋" w:cs="宋体"/>
          <w:b/>
          <w:bCs/>
          <w:kern w:val="0"/>
          <w:sz w:val="24"/>
          <w:lang w:val="en-US" w:eastAsia="zh-CN"/>
        </w:rPr>
      </w:pPr>
    </w:p>
    <w:p w14:paraId="6932557D">
      <w:pPr>
        <w:spacing w:line="360" w:lineRule="exact"/>
        <w:ind w:left="764" w:leftChars="361" w:right="628" w:rightChars="299" w:hanging="6"/>
        <w:rPr>
          <w:rFonts w:hint="eastAsia" w:ascii="仿宋" w:hAnsi="仿宋" w:eastAsia="仿宋" w:cs="宋体"/>
          <w:b/>
          <w:bCs/>
          <w:kern w:val="0"/>
          <w:sz w:val="28"/>
          <w:szCs w:val="28"/>
        </w:rPr>
      </w:pPr>
    </w:p>
    <w:p w14:paraId="09D07534">
      <w:pPr>
        <w:spacing w:line="360" w:lineRule="exact"/>
        <w:ind w:left="764" w:leftChars="361" w:right="628" w:rightChars="299" w:hanging="6"/>
        <w:rPr>
          <w:rFonts w:hint="eastAsia" w:ascii="仿宋" w:hAnsi="仿宋" w:eastAsia="仿宋" w:cs="宋体"/>
          <w:b/>
          <w:bCs/>
          <w:kern w:val="0"/>
          <w:sz w:val="28"/>
          <w:szCs w:val="28"/>
        </w:rPr>
      </w:pPr>
    </w:p>
    <w:p w14:paraId="0FE6AFAA">
      <w:pPr>
        <w:widowControl/>
        <w:spacing w:line="525" w:lineRule="atLeast"/>
        <w:ind w:firstLine="285"/>
        <w:jc w:val="center"/>
        <w:rPr>
          <w:rFonts w:ascii="仿宋_GB2312" w:hAnsi="Times New Roman" w:eastAsia="仿宋_GB2312" w:cs="Times New Roman"/>
          <w:color w:val="000000"/>
          <w:kern w:val="0"/>
          <w:sz w:val="32"/>
          <w:szCs w:val="32"/>
          <w:lang w:bidi="ar"/>
        </w:rPr>
      </w:pPr>
      <w:r>
        <w:rPr>
          <w:rFonts w:hint="eastAsia" w:ascii="仿宋_GB2312" w:hAnsi="Times New Roman" w:eastAsia="仿宋_GB2312" w:cs="Times New Roman"/>
          <w:color w:val="000000"/>
          <w:kern w:val="0"/>
          <w:sz w:val="32"/>
          <w:szCs w:val="32"/>
          <w:lang w:bidi="ar"/>
        </w:rPr>
        <w:t xml:space="preserve">     </w:t>
      </w:r>
    </w:p>
    <w:p w14:paraId="4B8E2470"/>
    <w:p w14:paraId="6643896D"/>
    <w:sectPr>
      <w:footerReference r:id="rId3" w:type="default"/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8609FD1-A232-4A7D-9566-E107B09E8737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7C62C31B-9B91-4F41-9FA1-C3937958EEC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B9BC5CCB-1316-4EC0-A67A-DDFBE5F1BB9F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0EFD74F6-1C8E-4F14-9E00-BDB39D43F16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8F34C2D5-CEF5-4568-83B4-A871AD278D11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5D3547FE-F9FA-4D09-B6FA-1E5C532C7ED3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FB55F498-5B17-4E3D-B4C8-2900E247AE21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17436611-640F-42B5-9585-480DE81A549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0A1ED91">
    <w:pPr>
      <w:pStyle w:val="4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3175</wp:posOffset>
              </wp:positionV>
              <wp:extent cx="1828800" cy="1828800"/>
              <wp:effectExtent l="0" t="0" r="0" b="0"/>
              <wp:wrapNone/>
              <wp:docPr id="17" name="文本框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023E385">
                          <w:pPr>
                            <w:pStyle w:val="4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- 6 -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.25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KmFcT7SAAAABQEAAA8AAAAAAAAAAQAgAAAAIgAAAGRycy9kb3ducmV2LnhtbFBLAQIUABQAAAAI&#10;AIdO4kDTOx4WLAIAAFcEAAAOAAAAAAAAAAEAIAAAACEBAABkcnMvZTJvRG9jLnhtbFBLBQYAAAAA&#10;BgAGAFkBAAC/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023E385">
                    <w:pPr>
                      <w:pStyle w:val="4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- 6 -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DRmY2M5Njc1NDRiZjcyMTRhNzAxYzk3ZTNiNThmYzgifQ=="/>
  </w:docVars>
  <w:rsids>
    <w:rsidRoot w:val="00F119C4"/>
    <w:rsid w:val="00025FBA"/>
    <w:rsid w:val="00073E97"/>
    <w:rsid w:val="000A5C11"/>
    <w:rsid w:val="00116C39"/>
    <w:rsid w:val="00126F91"/>
    <w:rsid w:val="0017486C"/>
    <w:rsid w:val="001A3C12"/>
    <w:rsid w:val="001E387C"/>
    <w:rsid w:val="002061E9"/>
    <w:rsid w:val="0025537A"/>
    <w:rsid w:val="00255531"/>
    <w:rsid w:val="0026647F"/>
    <w:rsid w:val="002F142C"/>
    <w:rsid w:val="00324E97"/>
    <w:rsid w:val="003254FD"/>
    <w:rsid w:val="004007A2"/>
    <w:rsid w:val="004111BC"/>
    <w:rsid w:val="004642F0"/>
    <w:rsid w:val="0046568C"/>
    <w:rsid w:val="004B67AC"/>
    <w:rsid w:val="004E2BA5"/>
    <w:rsid w:val="00524784"/>
    <w:rsid w:val="005C3EB7"/>
    <w:rsid w:val="00617489"/>
    <w:rsid w:val="006C4269"/>
    <w:rsid w:val="006F2841"/>
    <w:rsid w:val="007340E6"/>
    <w:rsid w:val="00773EC0"/>
    <w:rsid w:val="007A6BCE"/>
    <w:rsid w:val="007A7F5A"/>
    <w:rsid w:val="0087675B"/>
    <w:rsid w:val="00890399"/>
    <w:rsid w:val="008A50A0"/>
    <w:rsid w:val="00910A1E"/>
    <w:rsid w:val="009738DE"/>
    <w:rsid w:val="009B6D0F"/>
    <w:rsid w:val="00A02F97"/>
    <w:rsid w:val="00A032B5"/>
    <w:rsid w:val="00A06E65"/>
    <w:rsid w:val="00A67666"/>
    <w:rsid w:val="00B27358"/>
    <w:rsid w:val="00B55698"/>
    <w:rsid w:val="00C0050E"/>
    <w:rsid w:val="00CB07C9"/>
    <w:rsid w:val="00CD1300"/>
    <w:rsid w:val="00CE5025"/>
    <w:rsid w:val="00CF5C3B"/>
    <w:rsid w:val="00D25A33"/>
    <w:rsid w:val="00DD535F"/>
    <w:rsid w:val="00DE1A36"/>
    <w:rsid w:val="00DE5A6E"/>
    <w:rsid w:val="00E254A1"/>
    <w:rsid w:val="00E25FC5"/>
    <w:rsid w:val="00ED456E"/>
    <w:rsid w:val="00EF4909"/>
    <w:rsid w:val="00F119C4"/>
    <w:rsid w:val="00F57BBF"/>
    <w:rsid w:val="00F83F3C"/>
    <w:rsid w:val="00FD58F0"/>
    <w:rsid w:val="00FD7787"/>
    <w:rsid w:val="00FE2E81"/>
    <w:rsid w:val="142D4BB8"/>
    <w:rsid w:val="1EE31800"/>
    <w:rsid w:val="22DD6C36"/>
    <w:rsid w:val="25797DAD"/>
    <w:rsid w:val="26331B12"/>
    <w:rsid w:val="28437249"/>
    <w:rsid w:val="39267334"/>
    <w:rsid w:val="42CE2198"/>
    <w:rsid w:val="552E51F9"/>
    <w:rsid w:val="60806A67"/>
    <w:rsid w:val="611E4813"/>
    <w:rsid w:val="6F505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6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9">
    <w:name w:val="Strong"/>
    <w:basedOn w:val="8"/>
    <w:qFormat/>
    <w:uiPriority w:val="22"/>
    <w:rPr>
      <w:b/>
      <w:bCs/>
    </w:rPr>
  </w:style>
  <w:style w:type="character" w:customStyle="1" w:styleId="10">
    <w:name w:val="批注框文本 字符"/>
    <w:basedOn w:val="8"/>
    <w:link w:val="3"/>
    <w:semiHidden/>
    <w:qFormat/>
    <w:uiPriority w:val="99"/>
    <w:rPr>
      <w:sz w:val="18"/>
      <w:szCs w:val="18"/>
    </w:rPr>
  </w:style>
  <w:style w:type="paragraph" w:customStyle="1" w:styleId="11">
    <w:name w:val="Revision"/>
    <w: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2242</Words>
  <Characters>2322</Characters>
  <Lines>202</Lines>
  <Paragraphs>199</Paragraphs>
  <TotalTime>0</TotalTime>
  <ScaleCrop>false</ScaleCrop>
  <LinksUpToDate>false</LinksUpToDate>
  <CharactersWithSpaces>2920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2023-11-17T06:56:00Z</dcterms:created>
  <dc:creator>Z YF</dc:creator>
  <cp:lastModifiedBy>逸伦</cp:lastModifiedBy>
  <cp:lastPrinted>2024-12-16T08:20:00Z</cp:lastPrinted>
  <dcterms:modified xsi:type="dcterms:W3CDTF">2025-05-20T07:38:00Z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B75DDA9DB1C349BEA2BF5AE23546470B_13</vt:lpwstr>
  </property>
  <property fmtid="{D5CDD505-2E9C-101B-9397-08002B2CF9AE}" pid="4" name="KSOTemplateDocerSaveRecord">
    <vt:lpwstr>eyJoZGlkIjoiMDRmY2M5Njc1NDRiZjcyMTRhNzAxYzk3ZTNiNThmYzgiLCJ1c2VySWQiOiIzMjQwOTI1MzMifQ==</vt:lpwstr>
  </property>
</Properties>
</file>