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中宋" w:hAnsi="华文中宋" w:eastAsia="华文中宋" w:cs="华文中宋"/>
          <w:b w:val="0"/>
          <w:bCs w:val="0"/>
          <w:color w:val="000000" w:themeColor="text1"/>
          <w:sz w:val="32"/>
          <w:szCs w:val="32"/>
          <w:lang w:val="en-US" w:eastAsia="zh-CN"/>
          <w14:textFill>
            <w14:solidFill>
              <w14:schemeClr w14:val="tx1"/>
            </w14:solidFill>
          </w14:textFill>
        </w:rPr>
      </w:pPr>
      <w:r>
        <w:rPr>
          <w:rFonts w:hint="eastAsia" w:ascii="华文中宋" w:hAnsi="华文中宋" w:eastAsia="华文中宋" w:cs="华文中宋"/>
          <w:b w:val="0"/>
          <w:bCs w:val="0"/>
          <w:color w:val="000000" w:themeColor="text1"/>
          <w:sz w:val="32"/>
          <w:szCs w:val="32"/>
          <w:lang w:val="en-US" w:eastAsia="zh-CN"/>
          <w14:textFill>
            <w14:solidFill>
              <w14:schemeClr w14:val="tx1"/>
            </w14:solidFill>
          </w14:textFill>
        </w:rPr>
        <w:t>案例填写说明</w:t>
      </w:r>
    </w:p>
    <w:p>
      <w:pPr>
        <w:jc w:val="both"/>
        <w:rPr>
          <w:rFonts w:hint="eastAsia" w:ascii="仿宋" w:hAnsi="仿宋" w:eastAsia="仿宋" w:cs="仿宋"/>
          <w:sz w:val="28"/>
          <w:szCs w:val="28"/>
          <w:lang w:val="en-US" w:eastAsia="zh-CN"/>
        </w:rPr>
      </w:pPr>
    </w:p>
    <w:p>
      <w:pPr>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填写前，请注意以下4点：</w:t>
      </w:r>
    </w:p>
    <w:p>
      <w:pPr>
        <w:numPr>
          <w:ilvl w:val="0"/>
          <w:numId w:val="1"/>
        </w:numPr>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请按照内容说明填写，为保证统一规范，正文请用</w:t>
      </w:r>
      <w:r>
        <w:rPr>
          <w:rFonts w:hint="eastAsia" w:ascii="仿宋" w:hAnsi="仿宋" w:eastAsia="仿宋" w:cs="仿宋"/>
          <w:b/>
          <w:bCs/>
          <w:color w:val="0000FF"/>
          <w:sz w:val="28"/>
          <w:szCs w:val="28"/>
          <w:lang w:val="en-US" w:eastAsia="zh-CN"/>
        </w:rPr>
        <w:t>仿宋四号字体</w:t>
      </w:r>
      <w:r>
        <w:rPr>
          <w:rFonts w:hint="eastAsia" w:ascii="仿宋" w:hAnsi="仿宋" w:eastAsia="仿宋" w:cs="仿宋"/>
          <w:sz w:val="28"/>
          <w:szCs w:val="28"/>
          <w:lang w:val="en-US" w:eastAsia="zh-CN"/>
        </w:rPr>
        <w:t>填写，行间距为固定值28磅，一级标题请用黑体四号定格，二级标题请用楷体四号首行缩进2字符。</w:t>
      </w:r>
    </w:p>
    <w:p>
      <w:pPr>
        <w:numPr>
          <w:ilvl w:val="0"/>
          <w:numId w:val="0"/>
        </w:numPr>
        <w:jc w:val="both"/>
        <w:rPr>
          <w:rFonts w:hint="eastAsia" w:ascii="仿宋" w:hAnsi="仿宋" w:eastAsia="仿宋" w:cs="仿宋"/>
          <w:sz w:val="28"/>
          <w:szCs w:val="28"/>
          <w:lang w:val="en-US" w:eastAsia="zh-CN"/>
        </w:rPr>
      </w:pPr>
    </w:p>
    <w:p>
      <w:pPr>
        <w:numPr>
          <w:ilvl w:val="0"/>
          <w:numId w:val="1"/>
        </w:numPr>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案例全文字数请尽量控制在2000字以内，</w:t>
      </w:r>
      <w:r>
        <w:rPr>
          <w:rFonts w:hint="eastAsia" w:ascii="仿宋" w:hAnsi="仿宋" w:eastAsia="仿宋" w:cs="仿宋"/>
          <w:b/>
          <w:bCs/>
          <w:color w:val="0000FF"/>
          <w:sz w:val="28"/>
          <w:szCs w:val="28"/>
          <w:lang w:val="en-US" w:eastAsia="zh-CN"/>
        </w:rPr>
        <w:t>超过字数尽量控制在150字以内</w:t>
      </w:r>
      <w:r>
        <w:rPr>
          <w:rFonts w:hint="eastAsia" w:ascii="仿宋" w:hAnsi="仿宋" w:eastAsia="仿宋" w:cs="仿宋"/>
          <w:sz w:val="28"/>
          <w:szCs w:val="28"/>
          <w:lang w:val="en-US" w:eastAsia="zh-CN"/>
        </w:rPr>
        <w:t>；</w:t>
      </w:r>
    </w:p>
    <w:p>
      <w:pPr>
        <w:numPr>
          <w:ilvl w:val="0"/>
          <w:numId w:val="0"/>
        </w:numPr>
        <w:ind w:leftChars="0"/>
        <w:jc w:val="both"/>
        <w:rPr>
          <w:rFonts w:hint="eastAsia" w:ascii="仿宋" w:hAnsi="仿宋" w:eastAsia="仿宋" w:cs="仿宋"/>
          <w:sz w:val="28"/>
          <w:szCs w:val="28"/>
          <w:lang w:val="en-US" w:eastAsia="zh-CN"/>
        </w:rPr>
      </w:pPr>
    </w:p>
    <w:p>
      <w:pPr>
        <w:numPr>
          <w:ilvl w:val="0"/>
          <w:numId w:val="1"/>
        </w:numPr>
        <w:ind w:left="0" w:leftChars="0" w:firstLine="0" w:firstLine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所有文中出现照片，</w:t>
      </w:r>
      <w:r>
        <w:rPr>
          <w:rFonts w:hint="eastAsia" w:ascii="仿宋" w:hAnsi="仿宋" w:eastAsia="仿宋" w:cs="仿宋"/>
          <w:b/>
          <w:bCs/>
          <w:color w:val="0000FF"/>
          <w:sz w:val="28"/>
          <w:szCs w:val="28"/>
          <w:lang w:val="en-US" w:eastAsia="zh-CN"/>
        </w:rPr>
        <w:t>请另行打包发送</w:t>
      </w:r>
      <w:r>
        <w:rPr>
          <w:rFonts w:hint="eastAsia" w:ascii="仿宋" w:hAnsi="仿宋" w:eastAsia="仿宋" w:cs="仿宋"/>
          <w:sz w:val="28"/>
          <w:szCs w:val="28"/>
          <w:lang w:val="en-US" w:eastAsia="zh-CN"/>
        </w:rPr>
        <w:t>，</w:t>
      </w:r>
      <w:r>
        <w:rPr>
          <w:rFonts w:hint="eastAsia" w:ascii="仿宋" w:hAnsi="仿宋" w:eastAsia="仿宋" w:cs="仿宋"/>
          <w:b/>
          <w:bCs/>
          <w:color w:val="0000FF"/>
          <w:sz w:val="28"/>
          <w:szCs w:val="28"/>
          <w:lang w:val="en-US" w:eastAsia="zh-CN"/>
        </w:rPr>
        <w:t>照片请写【照片描述】</w:t>
      </w:r>
      <w:r>
        <w:rPr>
          <w:rFonts w:hint="eastAsia" w:ascii="仿宋" w:hAnsi="仿宋" w:eastAsia="仿宋" w:cs="仿宋"/>
          <w:sz w:val="28"/>
          <w:szCs w:val="28"/>
          <w:lang w:val="en-US" w:eastAsia="zh-CN"/>
        </w:rPr>
        <w:t>，</w:t>
      </w:r>
      <w:r>
        <w:rPr>
          <w:rFonts w:hint="eastAsia" w:ascii="仿宋" w:hAnsi="仿宋" w:eastAsia="仿宋" w:cs="仿宋"/>
          <w:b/>
          <w:bCs/>
          <w:color w:val="0000FF"/>
          <w:sz w:val="28"/>
          <w:szCs w:val="28"/>
          <w:lang w:val="en-US" w:eastAsia="zh-CN"/>
        </w:rPr>
        <w:t>照片大小确保在1MB以上</w:t>
      </w:r>
      <w:r>
        <w:rPr>
          <w:rFonts w:hint="eastAsia" w:ascii="仿宋" w:hAnsi="仿宋" w:eastAsia="仿宋" w:cs="仿宋"/>
          <w:sz w:val="28"/>
          <w:szCs w:val="28"/>
          <w:lang w:val="en-US" w:eastAsia="zh-CN"/>
        </w:rPr>
        <w:t>；</w:t>
      </w:r>
    </w:p>
    <w:p>
      <w:pPr>
        <w:widowControl w:val="0"/>
        <w:numPr>
          <w:ilvl w:val="0"/>
          <w:numId w:val="0"/>
        </w:numPr>
        <w:jc w:val="both"/>
        <w:rPr>
          <w:rFonts w:hint="eastAsia" w:ascii="仿宋" w:hAnsi="仿宋" w:eastAsia="仿宋" w:cs="仿宋"/>
          <w:sz w:val="28"/>
          <w:szCs w:val="28"/>
          <w:lang w:val="en-US" w:eastAsia="zh-CN"/>
        </w:rPr>
      </w:pPr>
    </w:p>
    <w:p>
      <w:pPr>
        <w:widowControl w:val="0"/>
        <w:numPr>
          <w:ilvl w:val="0"/>
          <w:numId w:val="1"/>
        </w:numPr>
        <w:ind w:left="0" w:leftChars="0" w:firstLine="0" w:firstLineChars="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电子版材料（包括但不限于：申报表、案例正文、照片）请统一汇总发送至邮箱：hongkoustk@163.com，邮件标题为“社会组织服务案例+申报单位名称”，电子版请于11月21日前提交；</w:t>
      </w:r>
    </w:p>
    <w:p>
      <w:pPr>
        <w:widowControl w:val="0"/>
        <w:numPr>
          <w:ilvl w:val="0"/>
          <w:numId w:val="0"/>
        </w:numPr>
        <w:ind w:leftChars="0"/>
        <w:jc w:val="both"/>
        <w:rPr>
          <w:rFonts w:hint="eastAsia" w:ascii="仿宋" w:hAnsi="仿宋" w:eastAsia="仿宋" w:cs="仿宋"/>
          <w:sz w:val="28"/>
          <w:szCs w:val="28"/>
          <w:highlight w:val="none"/>
          <w:lang w:val="en-US" w:eastAsia="zh-CN"/>
        </w:rPr>
      </w:pPr>
    </w:p>
    <w:p>
      <w:pPr>
        <w:widowControl w:val="0"/>
        <w:numPr>
          <w:ilvl w:val="0"/>
          <w:numId w:val="1"/>
        </w:numPr>
        <w:ind w:left="0" w:leftChars="0" w:firstLine="0" w:firstLineChars="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纸质版一式三份，请一并寄送至上海市虹口区飞虹路518号2号楼421室，联系电话：25015420（韦老师）</w:t>
      </w:r>
    </w:p>
    <w:p>
      <w:pPr>
        <w:rPr>
          <w:rFonts w:hint="eastAsia" w:eastAsiaTheme="minorEastAsia"/>
          <w:lang w:val="en-US" w:eastAsia="zh-CN"/>
        </w:rPr>
      </w:pPr>
    </w:p>
    <w:p>
      <w:pPr>
        <w:rPr>
          <w:rFonts w:hint="eastAsia" w:eastAsiaTheme="minor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GoBack"/>
      <w:bookmarkEnd w:id="0"/>
    </w:p>
    <w:p>
      <w:pPr>
        <w:jc w:val="center"/>
        <w:rPr>
          <w:rFonts w:hint="default" w:ascii="华文中宋" w:hAnsi="华文中宋" w:eastAsia="华文中宋" w:cs="华文中宋"/>
          <w:sz w:val="30"/>
          <w:szCs w:val="30"/>
          <w:lang w:val="en-US" w:eastAsia="zh-CN"/>
        </w:rPr>
      </w:pPr>
      <w:r>
        <w:rPr>
          <w:rFonts w:hint="eastAsia" w:ascii="华文中宋" w:hAnsi="华文中宋" w:eastAsia="华文中宋" w:cs="华文中宋"/>
          <w:sz w:val="30"/>
          <w:szCs w:val="30"/>
          <w:lang w:val="en-US" w:eastAsia="zh-CN"/>
        </w:rPr>
        <w:t>虹口区社会组织参与社会治理服务案例正文</w:t>
      </w:r>
    </w:p>
    <w:tbl>
      <w:tblPr>
        <w:tblStyle w:val="3"/>
        <w:tblW w:w="88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73"/>
        <w:gridCol w:w="71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673" w:type="dxa"/>
            <w:tcBorders>
              <w:tl2br w:val="nil"/>
              <w:tr2bl w:val="nil"/>
            </w:tcBorders>
            <w:vAlign w:val="center"/>
          </w:tcPr>
          <w:p>
            <w:pPr>
              <w:jc w:val="cente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案例名称</w:t>
            </w:r>
          </w:p>
        </w:tc>
        <w:tc>
          <w:tcPr>
            <w:tcW w:w="7186" w:type="dxa"/>
            <w:tcBorders>
              <w:tl2br w:val="nil"/>
              <w:tr2bl w:val="nil"/>
            </w:tcBorders>
            <w:vAlign w:val="center"/>
          </w:tcPr>
          <w:p>
            <w:pPr>
              <w:jc w:val="center"/>
              <w:rPr>
                <w:rFonts w:hint="eastAsia" w:ascii="仿宋" w:hAnsi="仿宋" w:eastAsia="仿宋" w:cs="仿宋"/>
                <w:sz w:val="28"/>
                <w:szCs w:val="28"/>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673" w:type="dxa"/>
            <w:tcBorders>
              <w:tl2br w:val="nil"/>
              <w:tr2bl w:val="nil"/>
            </w:tcBorders>
            <w:vAlign w:val="center"/>
          </w:tcPr>
          <w:p>
            <w:pPr>
              <w:jc w:val="center"/>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申报单位</w:t>
            </w:r>
          </w:p>
        </w:tc>
        <w:tc>
          <w:tcPr>
            <w:tcW w:w="7186" w:type="dxa"/>
            <w:tcBorders>
              <w:tl2br w:val="nil"/>
              <w:tr2bl w:val="nil"/>
            </w:tcBorders>
            <w:vAlign w:val="center"/>
          </w:tcPr>
          <w:p>
            <w:pPr>
              <w:jc w:val="center"/>
              <w:rPr>
                <w:rFonts w:hint="eastAsia" w:ascii="仿宋" w:hAnsi="仿宋" w:eastAsia="仿宋" w:cs="仿宋"/>
                <w:sz w:val="28"/>
                <w:szCs w:val="28"/>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673" w:type="dxa"/>
            <w:tcBorders>
              <w:tl2br w:val="nil"/>
              <w:tr2bl w:val="nil"/>
            </w:tcBorders>
            <w:vAlign w:val="center"/>
          </w:tcPr>
          <w:p>
            <w:pPr>
              <w:jc w:val="center"/>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服务领域</w:t>
            </w:r>
          </w:p>
        </w:tc>
        <w:tc>
          <w:tcPr>
            <w:tcW w:w="7186" w:type="dxa"/>
            <w:tcBorders>
              <w:tl2br w:val="nil"/>
              <w:tr2bl w:val="nil"/>
            </w:tcBorders>
            <w:vAlign w:val="center"/>
          </w:tcPr>
          <w:p>
            <w:pPr>
              <w:jc w:val="left"/>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sym w:font="Wingdings 2" w:char="00A3"/>
            </w:r>
            <w:r>
              <w:rPr>
                <w:rFonts w:hint="eastAsia" w:ascii="仿宋" w:hAnsi="仿宋" w:eastAsia="仿宋" w:cs="仿宋"/>
                <w:sz w:val="28"/>
                <w:szCs w:val="28"/>
                <w:vertAlign w:val="baseline"/>
                <w:lang w:val="en-US" w:eastAsia="zh-CN"/>
              </w:rPr>
              <w:t xml:space="preserve">民生服务         </w:t>
            </w:r>
            <w:r>
              <w:rPr>
                <w:rFonts w:hint="eastAsia" w:ascii="仿宋" w:hAnsi="仿宋" w:eastAsia="仿宋" w:cs="仿宋"/>
                <w:sz w:val="28"/>
                <w:szCs w:val="28"/>
                <w:vertAlign w:val="baseline"/>
                <w:lang w:val="en-US" w:eastAsia="zh-CN"/>
              </w:rPr>
              <w:sym w:font="Wingdings 2" w:char="00A3"/>
            </w:r>
            <w:r>
              <w:rPr>
                <w:rFonts w:hint="eastAsia" w:ascii="仿宋" w:hAnsi="仿宋" w:eastAsia="仿宋" w:cs="仿宋"/>
                <w:sz w:val="28"/>
                <w:szCs w:val="28"/>
                <w:vertAlign w:val="baseline"/>
                <w:lang w:val="en-US" w:eastAsia="zh-CN"/>
              </w:rPr>
              <w:t xml:space="preserve">公益慈善           </w:t>
            </w:r>
            <w:r>
              <w:rPr>
                <w:rFonts w:hint="eastAsia" w:ascii="仿宋" w:hAnsi="仿宋" w:eastAsia="仿宋" w:cs="仿宋"/>
                <w:sz w:val="28"/>
                <w:szCs w:val="28"/>
                <w:vertAlign w:val="baseline"/>
                <w:lang w:val="en-US" w:eastAsia="zh-CN"/>
              </w:rPr>
              <w:sym w:font="Wingdings 2" w:char="00A3"/>
            </w:r>
            <w:r>
              <w:rPr>
                <w:rFonts w:hint="eastAsia" w:ascii="仿宋" w:hAnsi="仿宋" w:eastAsia="仿宋" w:cs="仿宋"/>
                <w:sz w:val="28"/>
                <w:szCs w:val="28"/>
                <w:vertAlign w:val="baseline"/>
                <w:lang w:val="en-US" w:eastAsia="zh-CN"/>
              </w:rPr>
              <w:t xml:space="preserve">精神文明       </w:t>
            </w:r>
            <w:r>
              <w:rPr>
                <w:rFonts w:hint="eastAsia" w:ascii="仿宋" w:hAnsi="仿宋" w:eastAsia="仿宋" w:cs="仿宋"/>
                <w:sz w:val="28"/>
                <w:szCs w:val="28"/>
                <w:vertAlign w:val="baseline"/>
                <w:lang w:val="en-US" w:eastAsia="zh-CN"/>
              </w:rPr>
              <w:sym w:font="Wingdings 2" w:char="00A3"/>
            </w:r>
            <w:r>
              <w:rPr>
                <w:rFonts w:hint="eastAsia" w:ascii="仿宋" w:hAnsi="仿宋" w:eastAsia="仿宋" w:cs="仿宋"/>
                <w:sz w:val="28"/>
                <w:szCs w:val="28"/>
                <w:vertAlign w:val="baseline"/>
                <w:lang w:val="en-US" w:eastAsia="zh-CN"/>
              </w:rPr>
              <w:t xml:space="preserve">社区治理         </w:t>
            </w:r>
            <w:r>
              <w:rPr>
                <w:rFonts w:hint="eastAsia" w:ascii="仿宋" w:hAnsi="仿宋" w:eastAsia="仿宋" w:cs="仿宋"/>
                <w:sz w:val="28"/>
                <w:szCs w:val="28"/>
                <w:vertAlign w:val="baseline"/>
                <w:lang w:val="en-US" w:eastAsia="zh-CN"/>
              </w:rPr>
              <w:sym w:font="Wingdings 2" w:char="00A3"/>
            </w:r>
            <w:r>
              <w:rPr>
                <w:rFonts w:hint="eastAsia" w:ascii="仿宋" w:hAnsi="仿宋" w:eastAsia="仿宋" w:cs="仿宋"/>
                <w:sz w:val="28"/>
                <w:szCs w:val="28"/>
                <w:vertAlign w:val="baseline"/>
                <w:lang w:val="en-US" w:eastAsia="zh-CN"/>
              </w:rPr>
              <w:t>公共安全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8859" w:type="dxa"/>
            <w:gridSpan w:val="2"/>
            <w:tcBorders>
              <w:tl2br w:val="nil"/>
              <w:tr2bl w:val="nil"/>
            </w:tcBorders>
            <w:shd w:val="clear" w:color="auto" w:fill="CFCECE" w:themeFill="background2" w:themeFillShade="E5"/>
            <w:vAlign w:val="center"/>
          </w:tcPr>
          <w:p>
            <w:pPr>
              <w:keepNext w:val="0"/>
              <w:keepLines w:val="0"/>
              <w:pageBreakBefore w:val="0"/>
              <w:widowControl w:val="0"/>
              <w:numPr>
                <w:ilvl w:val="0"/>
                <w:numId w:val="2"/>
              </w:numPr>
              <w:kinsoku/>
              <w:wordWrap/>
              <w:overflowPunct/>
              <w:topLinePunct w:val="0"/>
              <w:autoSpaceDE/>
              <w:autoSpaceDN/>
              <w:bidi w:val="0"/>
              <w:adjustRightInd/>
              <w:snapToGrid/>
              <w:ind w:left="0" w:leftChars="0" w:firstLine="0" w:firstLineChars="0"/>
              <w:textAlignment w:val="auto"/>
              <w:rPr>
                <w:rFonts w:hint="eastAsia"/>
                <w:lang w:val="en-US" w:eastAsia="zh-CN"/>
              </w:rPr>
            </w:pPr>
            <w:r>
              <w:rPr>
                <w:rFonts w:hint="eastAsia" w:ascii="黑体" w:hAnsi="黑体" w:eastAsia="黑体" w:cs="黑体"/>
                <w:sz w:val="28"/>
                <w:szCs w:val="28"/>
                <w:lang w:val="en-US" w:eastAsia="zh-CN"/>
              </w:rPr>
              <w:t>服务基本情况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11" w:hRule="atLeast"/>
        </w:trPr>
        <w:tc>
          <w:tcPr>
            <w:tcW w:w="8859" w:type="dxa"/>
            <w:gridSpan w:val="2"/>
            <w:tcBorders>
              <w:tl2br w:val="nil"/>
              <w:tr2bl w:val="nil"/>
            </w:tcBorders>
            <w:vAlign w:val="top"/>
          </w:tcPr>
          <w:p>
            <w:pPr>
              <w:jc w:val="both"/>
              <w:rPr>
                <w:rFonts w:hint="eastAsia" w:ascii="仿宋" w:hAnsi="仿宋" w:eastAsia="仿宋" w:cs="仿宋"/>
                <w:b/>
                <w:bCs/>
                <w:color w:val="0000FF"/>
                <w:sz w:val="28"/>
                <w:szCs w:val="28"/>
                <w:vertAlign w:val="baseline"/>
                <w:lang w:val="en-US" w:eastAsia="zh-CN"/>
              </w:rPr>
            </w:pPr>
            <w:r>
              <w:rPr>
                <w:rFonts w:hint="eastAsia" w:ascii="仿宋" w:hAnsi="仿宋" w:eastAsia="仿宋" w:cs="仿宋"/>
                <w:b/>
                <w:bCs/>
                <w:color w:val="0000FF"/>
                <w:sz w:val="28"/>
                <w:szCs w:val="28"/>
                <w:vertAlign w:val="baseline"/>
                <w:lang w:val="en-US" w:eastAsia="zh-CN"/>
              </w:rPr>
              <w:t>（字数尽量控制在400字以内，主要描述案例实施背景与需求，采取措施与总体成效）</w:t>
            </w:r>
          </w:p>
          <w:p>
            <w:pPr>
              <w:jc w:val="both"/>
              <w:rPr>
                <w:rFonts w:hint="eastAsia" w:ascii="仿宋" w:hAnsi="仿宋" w:eastAsia="仿宋" w:cs="仿宋"/>
                <w:sz w:val="28"/>
                <w:szCs w:val="28"/>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8859" w:type="dxa"/>
            <w:gridSpan w:val="2"/>
            <w:tcBorders>
              <w:tl2br w:val="nil"/>
              <w:tr2bl w:val="nil"/>
            </w:tcBorders>
            <w:shd w:val="clear" w:color="auto" w:fill="CFCECE" w:themeFill="background2" w:themeFillShade="E5"/>
            <w:vAlign w:val="center"/>
          </w:tcPr>
          <w:p>
            <w:pPr>
              <w:keepNext w:val="0"/>
              <w:keepLines w:val="0"/>
              <w:pageBreakBefore w:val="0"/>
              <w:widowControl w:val="0"/>
              <w:numPr>
                <w:ilvl w:val="0"/>
                <w:numId w:val="2"/>
              </w:numPr>
              <w:kinsoku/>
              <w:wordWrap/>
              <w:overflowPunct/>
              <w:topLinePunct w:val="0"/>
              <w:autoSpaceDE/>
              <w:autoSpaceDN/>
              <w:bidi w:val="0"/>
              <w:adjustRightInd/>
              <w:snapToGrid/>
              <w:ind w:left="0" w:leftChars="0" w:firstLine="0" w:firstLineChars="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服务过程与成效</w:t>
            </w:r>
          </w:p>
          <w:p>
            <w:pPr>
              <w:jc w:val="left"/>
              <w:rPr>
                <w:rFonts w:hint="eastAsia" w:ascii="仿宋" w:hAnsi="仿宋" w:eastAsia="仿宋" w:cs="仿宋"/>
                <w:sz w:val="28"/>
                <w:szCs w:val="28"/>
                <w:vertAlign w:val="baseline"/>
                <w:lang w:val="en-US" w:eastAsia="zh-CN"/>
              </w:rPr>
            </w:pPr>
            <w:r>
              <w:rPr>
                <w:rFonts w:hint="eastAsia" w:ascii="仿宋" w:hAnsi="仿宋" w:eastAsia="仿宋" w:cs="仿宋"/>
                <w:b/>
                <w:bCs/>
                <w:sz w:val="28"/>
                <w:szCs w:val="28"/>
                <w:highlight w:val="yellow"/>
                <w:vertAlign w:val="baseline"/>
                <w:lang w:val="en-US" w:eastAsia="zh-CN"/>
              </w:rPr>
              <w:t>（可插入照片，并附照片描述，照片另行打包发送）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63" w:hRule="atLeast"/>
        </w:trPr>
        <w:tc>
          <w:tcPr>
            <w:tcW w:w="8859" w:type="dxa"/>
            <w:gridSpan w:val="2"/>
            <w:tcBorders>
              <w:tl2br w:val="nil"/>
              <w:tr2bl w:val="nil"/>
            </w:tcBorders>
            <w:vAlign w:val="center"/>
          </w:tcPr>
          <w:p>
            <w:pPr>
              <w:jc w:val="both"/>
              <w:rPr>
                <w:rFonts w:hint="eastAsia" w:ascii="仿宋" w:hAnsi="仿宋" w:eastAsia="仿宋" w:cs="仿宋"/>
                <w:b/>
                <w:bCs/>
                <w:color w:val="0000FF"/>
                <w:sz w:val="28"/>
                <w:szCs w:val="28"/>
                <w:vertAlign w:val="baseline"/>
                <w:lang w:val="en-US" w:eastAsia="zh-CN"/>
              </w:rPr>
            </w:pPr>
            <w:r>
              <w:rPr>
                <w:rFonts w:hint="eastAsia" w:ascii="仿宋" w:hAnsi="仿宋" w:eastAsia="仿宋" w:cs="仿宋"/>
                <w:b/>
                <w:bCs/>
                <w:color w:val="0000FF"/>
                <w:sz w:val="28"/>
                <w:szCs w:val="28"/>
                <w:vertAlign w:val="baseline"/>
                <w:lang w:val="en-US" w:eastAsia="zh-CN"/>
              </w:rPr>
              <w:t>（字数尽量控制在1200-1400字以内，主要描述如何根据需求或者目标，采取的措施与行动以及取得成效，对于措施与行动描述可尽量突出亮点、特色工作，对于取得成效除了描述取得奖励，也可以引用服务对象原话、案例故事或者相关前后测对比数据均可）</w:t>
            </w:r>
          </w:p>
          <w:p>
            <w:pPr>
              <w:jc w:val="both"/>
              <w:rPr>
                <w:rFonts w:hint="eastAsia" w:ascii="仿宋" w:hAnsi="仿宋" w:eastAsia="仿宋" w:cs="仿宋"/>
                <w:sz w:val="28"/>
                <w:szCs w:val="28"/>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59" w:type="dxa"/>
            <w:gridSpan w:val="2"/>
            <w:tcBorders>
              <w:tl2br w:val="nil"/>
              <w:tr2bl w:val="nil"/>
            </w:tcBorders>
            <w:shd w:val="clear" w:color="auto" w:fill="CFCECE" w:themeFill="background2" w:themeFillShade="E5"/>
            <w:vAlign w:val="center"/>
          </w:tcPr>
          <w:p>
            <w:pPr>
              <w:keepNext w:val="0"/>
              <w:keepLines w:val="0"/>
              <w:pageBreakBefore w:val="0"/>
              <w:widowControl w:val="0"/>
              <w:numPr>
                <w:ilvl w:val="0"/>
                <w:numId w:val="2"/>
              </w:numPr>
              <w:kinsoku/>
              <w:wordWrap/>
              <w:overflowPunct/>
              <w:topLinePunct w:val="0"/>
              <w:autoSpaceDE/>
              <w:autoSpaceDN/>
              <w:bidi w:val="0"/>
              <w:adjustRightInd/>
              <w:snapToGrid/>
              <w:ind w:left="0" w:leftChars="0" w:firstLine="0" w:firstLineChars="0"/>
              <w:textAlignment w:val="auto"/>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服务经验总结</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ascii="仿宋" w:hAnsi="仿宋" w:eastAsia="仿宋" w:cs="仿宋"/>
                <w:sz w:val="28"/>
                <w:szCs w:val="28"/>
                <w:vertAlign w:val="baseline"/>
                <w:lang w:val="en-US" w:eastAsia="zh-CN"/>
              </w:rPr>
            </w:pPr>
            <w:r>
              <w:rPr>
                <w:rFonts w:hint="eastAsia" w:ascii="仿宋" w:hAnsi="仿宋" w:eastAsia="仿宋" w:cs="仿宋"/>
                <w:b/>
                <w:bCs/>
                <w:sz w:val="28"/>
                <w:szCs w:val="28"/>
                <w:highlight w:val="yellow"/>
                <w:vertAlign w:val="baseline"/>
                <w:lang w:val="en-US" w:eastAsia="zh-CN"/>
              </w:rPr>
              <w:t>（可插入形成相关机制图片，并附图片描述，图片另行打包发送）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15" w:hRule="atLeast"/>
        </w:trPr>
        <w:tc>
          <w:tcPr>
            <w:tcW w:w="8859" w:type="dxa"/>
            <w:gridSpan w:val="2"/>
            <w:tcBorders>
              <w:tl2br w:val="nil"/>
              <w:tr2bl w:val="nil"/>
            </w:tcBorders>
          </w:tcPr>
          <w:p>
            <w:pPr>
              <w:jc w:val="both"/>
              <w:rPr>
                <w:rFonts w:hint="eastAsia" w:ascii="华文中宋" w:hAnsi="华文中宋" w:eastAsia="华文中宋" w:cs="华文中宋"/>
                <w:sz w:val="30"/>
                <w:szCs w:val="30"/>
                <w:vertAlign w:val="baseline"/>
                <w:lang w:val="en-US" w:eastAsia="zh-CN"/>
              </w:rPr>
            </w:pPr>
            <w:r>
              <w:rPr>
                <w:rFonts w:hint="eastAsia" w:ascii="仿宋" w:hAnsi="仿宋" w:eastAsia="仿宋" w:cs="仿宋"/>
                <w:b/>
                <w:bCs/>
                <w:color w:val="0000FF"/>
                <w:sz w:val="28"/>
                <w:szCs w:val="28"/>
                <w:vertAlign w:val="baseline"/>
                <w:lang w:val="en-US" w:eastAsia="zh-CN"/>
              </w:rPr>
              <w:t>（字数尽量控制在400字以内，主要描述服务实施过程中形成可复制、可推广经验、工作机制与模式等，）</w:t>
            </w:r>
          </w:p>
        </w:tc>
      </w:tr>
    </w:tbl>
    <w:p>
      <w:pPr>
        <w:jc w:val="left"/>
        <w:rPr>
          <w:rFonts w:hint="default" w:ascii="华文中宋" w:hAnsi="华文中宋" w:eastAsia="华文中宋" w:cs="华文中宋"/>
          <w:b w:val="0"/>
          <w:bCs w:val="0"/>
          <w:color w:val="0000FF"/>
          <w:w w:val="90"/>
          <w:sz w:val="30"/>
          <w:szCs w:val="30"/>
          <w:lang w:val="en-US" w:eastAsia="zh-CN"/>
        </w:rPr>
      </w:pPr>
      <w:r>
        <w:rPr>
          <w:rFonts w:hint="eastAsia" w:ascii="华文中宋" w:hAnsi="华文中宋" w:eastAsia="华文中宋" w:cs="华文中宋"/>
          <w:b w:val="0"/>
          <w:bCs w:val="0"/>
          <w:color w:val="0000FF"/>
          <w:w w:val="90"/>
          <w:sz w:val="30"/>
          <w:szCs w:val="30"/>
          <w:lang w:val="en-US" w:eastAsia="zh-CN"/>
        </w:rPr>
        <w:t>【示范案例：来源于《中国社会工作》，作者：尹顺意，截取部分】</w:t>
      </w:r>
    </w:p>
    <w:p>
      <w:pPr>
        <w:jc w:val="center"/>
        <w:rPr>
          <w:rFonts w:hint="eastAsia" w:ascii="仿宋" w:hAnsi="仿宋" w:eastAsia="仿宋" w:cs="仿宋"/>
          <w:sz w:val="28"/>
          <w:szCs w:val="28"/>
          <w:lang w:val="en-US" w:eastAsia="zh-CN"/>
        </w:rPr>
      </w:pPr>
      <w:r>
        <w:rPr>
          <w:rFonts w:hint="eastAsia" w:ascii="华文中宋" w:hAnsi="华文中宋" w:eastAsia="华文中宋" w:cs="华文中宋"/>
          <w:sz w:val="32"/>
          <w:szCs w:val="32"/>
          <w:lang w:val="en-US" w:eastAsia="zh-CN"/>
        </w:rPr>
        <w:t>让搬迁群众逐步从“融入”走向“融合”</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jc w:val="both"/>
        <w:textAlignment w:val="auto"/>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服务基本情况</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重庆市黔江区城南街道李家溪易地扶贫搬迁安置点是“十三五”时期重庆市最大的易地扶贫搬迁安置小区，除安置了黔江区29个乡镇（街道）413户建档立卡贫困户1531人外，还容纳了原户籍居民、工业建设征地拆迁安置居民、公租房居民及廉租房居民等4类群体1863户5918人。该安置点人员组成结构复杂，群众融合矛盾多，新老问题交织，尤其是后续帮扶任务重，社区治理难度较大。</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2019年，黔江区引入重庆市黔江区顺意社会工作服务中心（以下简称顺意中心），共同开展搬迁社区后续治理和服务探索。服务以地区发展模式为理论支持，以满足搬迁群众普遍性或个性化需求为内容，通过提升搬迁群众自助能力和推动搬迁群众社区参与，整合多方力量，构建扶贫搬迁安置社区后续治理模式，携手搬迁群众通过沟通互动、民主参与和协同发展，实现搬得出、稳得住、能发展、可致富的美好新生活目标，建设人人有责、人人尽责、人人享有的搬迁安置区社区治理共同体。</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jc w:val="both"/>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服务过程与成效</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56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乐和·齐心，实现身份融入</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针对搬迁群众公共事务参与意识较差、社区参与能力不足、缺乏对居民身份的认同感和社区归属感等问题，社工建立了“小事私事”自己办、“集体事情”社区“两委”协调办、“大事政策事”街道党委牵头办的“三事分流”机制，并先后成立了民主协商会、妇女协会、安置区青年团支部等议事协商组织。社工通过主题教育、骨干人才培养、社区协商、志愿联动等方式，开展“三事分流”协商、“我为社区建言献策”等品牌服务，引导搬迁群众以主人翁身份参与到社区协商、社区志愿服务、社区照顾和社区动员中。通过服务开展，搬迁群众逐步适应“三事分流”机制，转变了“大事小事家事都是政府的事”的思想观念，社区归属感和参与感明显增强，社区生活共同体意识得到提升。</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115560" cy="3864610"/>
            <wp:effectExtent l="0" t="0" r="2540" b="8890"/>
            <wp:docPr id="1" name="图片 1" descr="169951380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9513806594"/>
                    <pic:cNvPicPr>
                      <a:picLocks noChangeAspect="1"/>
                    </pic:cNvPicPr>
                  </pic:nvPicPr>
                  <pic:blipFill>
                    <a:blip r:embed="rId4"/>
                    <a:srcRect l="2940" t="4067"/>
                    <a:stretch>
                      <a:fillRect/>
                    </a:stretch>
                  </pic:blipFill>
                  <pic:spPr>
                    <a:xfrm>
                      <a:off x="0" y="0"/>
                      <a:ext cx="5115560" cy="38646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社工引导社区居民开展民主协商，建立搬迁老年互助组织</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56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乐居·安心，实现生活融入</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社工通过访谈、沙龙、主题小组等形式，引导搬迁群众发现和表达社区问题。针对搬迁群众卫生环境习惯差、高空抛物、生活垃圾随意丢弃、楼道杂物乱放、社区绿化随意践踏等问题，通过“社区+社工+搬迁群众”联动，采取“小手拉大手”志愿服务、主题教育宣传、洁美家庭评选等形式，有计划地开展了“关注小环境，共享大健康”“普及民法典，守护新生活”“志愿青春，禁毒有我”“心怀感恩，经营幸福家庭”等系列主题教育宣传活动，并发动搬迁群众共同建立了涉及垃圾分类、消防安全、社区文明等内容的社区公约，协同解决了垃圾分类箱合理投放、休闲座椅添置等社区公共问题，社区环境得到改善。如今，垃圾规范投放、消防通道不放杂物、高空不抛物等生活常识深入搬迁群众心中，搬迁群众逐步适应了社区生活。</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26050" cy="2495550"/>
            <wp:effectExtent l="0" t="0" r="6350" b="6350"/>
            <wp:docPr id="2" name="图片 2" descr="169951391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99513919220"/>
                    <pic:cNvPicPr>
                      <a:picLocks noChangeAspect="1"/>
                    </pic:cNvPicPr>
                  </pic:nvPicPr>
                  <pic:blipFill>
                    <a:blip r:embed="rId5"/>
                    <a:stretch>
                      <a:fillRect/>
                    </a:stretch>
                  </pic:blipFill>
                  <pic:spPr>
                    <a:xfrm>
                      <a:off x="0" y="0"/>
                      <a:ext cx="5226050" cy="2495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社工开展社区垃圾分类及环保主题宣传</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56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乐学·欢心，实现文化融入</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针对搬迁群众因享受不同公共政策和文化习惯差异导致的邻里关系融合难问题，社工通过与社区联动，采用小组工作、社区工作等形式，联合文明办、民政、共青团、妇联、关心下一代委员会等单位，搭建搬迁群众沟通互动和合作融合平台。社工策划了学党史、爱国法制、读书会、周末课堂等特色文化服务品牌，先后开展了“情系端午节，爱驻李家溪”“九九重阳节，浓浓敬老情”“拒绝家暴，为爱护航”等特色节庆和品牌文化活动，营造社区学习氛围，丰富搬迁群众精神文化生活，促进了文化融合。</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07000" cy="3930650"/>
            <wp:effectExtent l="0" t="0" r="0" b="6350"/>
            <wp:docPr id="3" name="图片 3" descr="169951402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9514029164"/>
                    <pic:cNvPicPr>
                      <a:picLocks noChangeAspect="1"/>
                    </pic:cNvPicPr>
                  </pic:nvPicPr>
                  <pic:blipFill>
                    <a:blip r:embed="rId6"/>
                    <a:stretch>
                      <a:fillRect/>
                    </a:stretch>
                  </pic:blipFill>
                  <pic:spPr>
                    <a:xfrm>
                      <a:off x="0" y="0"/>
                      <a:ext cx="5207000" cy="3930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社工在端午节组织开展社区楼栋主题活动</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56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乐善·舒心，实现关系融入</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针对“一老一小”群体照顾难问题，项目整合共青团、关工委等资源，通过“五社联动”机制，开展社区关怀、社区照顾和社区志愿服务等，促进邻里关系融入。</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是通过“社区党建+组织培育”形式，培育了3支社区志愿服务组织，通过搭建儿童周末课堂、结对帮扶、寒暑假主题志愿服务品牌等平台，联合爱心企业、基金会、心理咨询师、青年志愿者等，为搬迁儿童青少年开展心理成长、安全教育、兴趣课堂等志愿服务。</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二是采用“基金会+社工”的形式，为27名困境儿童持续提供每人每年2000元的助学金和专业社工个案跟踪辅导。</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三是选派4名资深社工对20户搬迁困难家庭深入开展后续跟踪个案帮扶服务。</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四是通过“专业社工+本土社工+志愿者”的形式，开办“爸妈食堂”，为30名空巢、失能半失能、五保、高龄等老人提供公益午餐和社区照顾。</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“五社联动”开展服务，为搬迁群众搭建了沟通互动平台，培育了他们参与公益慈善、志愿服务的意识，树立了自助互助的社区共同体意识，让搬迁群众在温暖和谐的社区氛围中逐步走向融合。</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4425950" cy="2730500"/>
            <wp:effectExtent l="0" t="0" r="6350" b="0"/>
            <wp:docPr id="4" name="图片 4" descr="169951448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99514480413"/>
                    <pic:cNvPicPr>
                      <a:picLocks noChangeAspect="1"/>
                    </pic:cNvPicPr>
                  </pic:nvPicPr>
                  <pic:blipFill>
                    <a:blip r:embed="rId7"/>
                    <a:stretch>
                      <a:fillRect/>
                    </a:stretch>
                  </pic:blipFill>
                  <pic:spPr>
                    <a:xfrm>
                      <a:off x="0" y="0"/>
                      <a:ext cx="4425950" cy="27305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楷体" w:hAnsi="楷体" w:eastAsia="楷体" w:cs="楷体"/>
          <w:w w:val="90"/>
          <w:sz w:val="28"/>
          <w:szCs w:val="28"/>
          <w:lang w:val="en-US" w:eastAsia="zh-CN"/>
        </w:rPr>
      </w:pPr>
      <w:r>
        <w:rPr>
          <w:rFonts w:hint="eastAsia" w:ascii="楷体" w:hAnsi="楷体" w:eastAsia="楷体" w:cs="楷体"/>
          <w:w w:val="90"/>
          <w:sz w:val="28"/>
          <w:szCs w:val="28"/>
          <w:lang w:val="en-US" w:eastAsia="zh-CN"/>
        </w:rPr>
        <w:t>社工引入慈善资源开办“爸妈食堂”，为困难搬迁老年人免费提供中餐服务</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jc w:val="both"/>
        <w:textAlignment w:val="auto"/>
        <w:rPr>
          <w:rFonts w:hint="eastAsia" w:ascii="楷体" w:hAnsi="楷体" w:eastAsia="楷体" w:cs="楷体"/>
          <w:w w:val="90"/>
          <w:sz w:val="28"/>
          <w:szCs w:val="28"/>
          <w:lang w:val="en-US" w:eastAsia="zh-CN"/>
        </w:rPr>
      </w:pPr>
      <w:r>
        <w:rPr>
          <w:rFonts w:hint="eastAsia" w:ascii="黑体" w:hAnsi="黑体" w:eastAsia="黑体" w:cs="黑体"/>
          <w:sz w:val="28"/>
          <w:szCs w:val="28"/>
          <w:lang w:val="en-US" w:eastAsia="zh-CN"/>
        </w:rPr>
        <w:t>服务经验总结</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服务通过开展专业、务实、丰富、个性化的服务，让搬迁群众逐步从“融入”走向“融合”，群众关系逐步融洽，社区参与能力和意识得到提升，社区自助互助氛围得到加强，大多群众依赖意识得到根本转变，社区不文明生活习惯和问题得到改善。李家溪安置点也先后被确立为新时代文明实践示范点、家风家教实践基地等，社区治理活力逐步增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eastAsiaTheme="minorEastAsia"/>
          <w:lang w:val="en-US" w:eastAsia="zh-CN"/>
        </w:rPr>
      </w:pPr>
      <w:r>
        <w:rPr>
          <w:rFonts w:hint="eastAsia" w:ascii="仿宋" w:hAnsi="仿宋" w:eastAsia="仿宋" w:cs="仿宋"/>
          <w:sz w:val="28"/>
          <w:szCs w:val="28"/>
          <w:lang w:val="en-US" w:eastAsia="zh-CN"/>
        </w:rPr>
        <w:t>在服务实施过程中，社工综合运用社会工作三大专业方法，资源整合意识较强，服务全程注重发挥使能者、教育者、中介者、协调联络者、资源链接者等专业角色功能，引导和协助搬迁群众自助和互助解决社区问题，提升其解决问题的能力，增强其社区归属感。同时，通过“部门联动、专业助推、志愿协同、社会参与、群众自助”的方式，探索了以“五社联动、五乐共建、五融共享”为内容的“5+5+5”易地扶贫搬迁安置点后续治理模式，延伸了服务成效，为社会工作介入易地扶贫搬迁安置区后续治理提供了可借鉴的经验和专业路径。</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F805E9"/>
    <w:multiLevelType w:val="singleLevel"/>
    <w:tmpl w:val="87F805E9"/>
    <w:lvl w:ilvl="0" w:tentative="0">
      <w:start w:val="1"/>
      <w:numFmt w:val="chineseCounting"/>
      <w:suff w:val="nothing"/>
      <w:lvlText w:val="（%1）"/>
      <w:lvlJc w:val="left"/>
      <w:pPr>
        <w:ind w:left="0" w:firstLine="420"/>
      </w:pPr>
      <w:rPr>
        <w:rFonts w:hint="eastAsia"/>
      </w:rPr>
    </w:lvl>
  </w:abstractNum>
  <w:abstractNum w:abstractNumId="1">
    <w:nsid w:val="3A091FED"/>
    <w:multiLevelType w:val="singleLevel"/>
    <w:tmpl w:val="3A091FED"/>
    <w:lvl w:ilvl="0" w:tentative="0">
      <w:start w:val="1"/>
      <w:numFmt w:val="chineseCounting"/>
      <w:suff w:val="nothing"/>
      <w:lvlText w:val="%1、"/>
      <w:lvlJc w:val="left"/>
      <w:pPr>
        <w:ind w:left="0" w:firstLine="420"/>
      </w:pPr>
      <w:rPr>
        <w:rFonts w:hint="eastAsia"/>
      </w:rPr>
    </w:lvl>
  </w:abstractNum>
  <w:abstractNum w:abstractNumId="2">
    <w:nsid w:val="48FC3423"/>
    <w:multiLevelType w:val="singleLevel"/>
    <w:tmpl w:val="48FC3423"/>
    <w:lvl w:ilvl="0" w:tentative="0">
      <w:start w:val="1"/>
      <w:numFmt w:val="decimal"/>
      <w:suff w:val="nothing"/>
      <w:lvlText w:val="%1-"/>
      <w:lvlJc w:val="left"/>
    </w:lvl>
  </w:abstractNum>
  <w:abstractNum w:abstractNumId="3">
    <w:nsid w:val="4FC6F845"/>
    <w:multiLevelType w:val="singleLevel"/>
    <w:tmpl w:val="4FC6F845"/>
    <w:lvl w:ilvl="0" w:tentative="0">
      <w:start w:val="1"/>
      <w:numFmt w:val="chineseCounting"/>
      <w:suff w:val="nothing"/>
      <w:lvlText w:val="%1、"/>
      <w:lvlJc w:val="left"/>
      <w:pPr>
        <w:ind w:left="0" w:firstLine="420"/>
      </w:pPr>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2CD25572"/>
    <w:rsid w:val="16C84A74"/>
    <w:rsid w:val="2CD25572"/>
    <w:rsid w:val="405F5252"/>
    <w:rsid w:val="46A11FEF"/>
    <w:rsid w:val="5EEF54F5"/>
    <w:rsid w:val="61E7692D"/>
    <w:rsid w:val="717A62A9"/>
    <w:rsid w:val="74BE5757"/>
    <w:rsid w:val="7EE03FBF"/>
    <w:rsid w:val="7F206889"/>
    <w:rsid w:val="7F4A21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2023-11-09T05:28:00Z</dcterms:created>
  <dc:creator>琪琪</dc:creator>
  <cp:lastModifiedBy>琪琪</cp:lastModifiedBy>
  <dcterms:modified xsi:type="dcterms:W3CDTF">2023-11-17T06:28:34Z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00D5DB106BEB42569261BFD8B9312425_11</vt:lpwstr>
  </property>
</Properties>
</file>